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AB" w:rsidRPr="00D65440" w:rsidRDefault="00134EAB" w:rsidP="00134EAB">
      <w:pPr>
        <w:pStyle w:val="Heading1"/>
      </w:pPr>
      <w:r w:rsidRPr="00D65440">
        <w:t>AMINOBUTYRIC ACID (DL</w:t>
      </w:r>
      <w:proofErr w:type="gramStart"/>
      <w:r w:rsidRPr="00D65440">
        <w:t>,3</w:t>
      </w:r>
      <w:proofErr w:type="gramEnd"/>
      <w:r w:rsidRPr="00D65440">
        <w:t>-)    CAS # 2835827</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ROUTE OF EXPOSURE</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STORAGE GROUP(S):</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34EAB" w:rsidRPr="00D65440" w:rsidRDefault="00134EAB" w:rsidP="00134EA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34EAB" w:rsidRPr="00D65440" w:rsidRDefault="00134EAB" w:rsidP="00134EAB">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134EAB" w:rsidRPr="00D65440" w:rsidRDefault="00134EAB" w:rsidP="00134EA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134EAB" w:rsidRPr="00D65440" w:rsidRDefault="00134EAB" w:rsidP="00134EAB">
      <w:pPr>
        <w:pStyle w:val="PlainText"/>
        <w:rPr>
          <w:rFonts w:ascii="Courier New" w:hAnsi="Courier New" w:cs="Courier New"/>
          <w:sz w:val="20"/>
          <w:szCs w:val="20"/>
        </w:rPr>
      </w:pPr>
    </w:p>
    <w:p w:rsidR="00134EAB" w:rsidRPr="00D65440" w:rsidRDefault="00134EAB" w:rsidP="00134EA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34EA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EAB"/>
    <w:rsid w:val="00134EA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4EA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EAB"/>
    <w:rPr>
      <w:rFonts w:ascii="Courier New" w:eastAsiaTheme="majorEastAsia" w:hAnsi="Courier New" w:cstheme="majorBidi"/>
      <w:b/>
      <w:bCs/>
      <w:sz w:val="20"/>
      <w:szCs w:val="28"/>
    </w:rPr>
  </w:style>
  <w:style w:type="paragraph" w:styleId="NoSpacing">
    <w:name w:val="No Spacing"/>
    <w:autoRedefine/>
    <w:uiPriority w:val="1"/>
    <w:qFormat/>
    <w:rsid w:val="00134EAB"/>
    <w:pPr>
      <w:spacing w:after="0" w:line="240" w:lineRule="auto"/>
      <w:jc w:val="both"/>
    </w:pPr>
    <w:rPr>
      <w:sz w:val="18"/>
    </w:rPr>
  </w:style>
  <w:style w:type="paragraph" w:styleId="PlainText">
    <w:name w:val="Plain Text"/>
    <w:basedOn w:val="Normal"/>
    <w:link w:val="PlainTextChar"/>
    <w:uiPriority w:val="99"/>
    <w:unhideWhenUsed/>
    <w:rsid w:val="00134EA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4EA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4EA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EAB"/>
    <w:rPr>
      <w:rFonts w:ascii="Courier New" w:eastAsiaTheme="majorEastAsia" w:hAnsi="Courier New" w:cstheme="majorBidi"/>
      <w:b/>
      <w:bCs/>
      <w:sz w:val="20"/>
      <w:szCs w:val="28"/>
    </w:rPr>
  </w:style>
  <w:style w:type="paragraph" w:styleId="NoSpacing">
    <w:name w:val="No Spacing"/>
    <w:autoRedefine/>
    <w:uiPriority w:val="1"/>
    <w:qFormat/>
    <w:rsid w:val="00134EAB"/>
    <w:pPr>
      <w:spacing w:after="0" w:line="240" w:lineRule="auto"/>
      <w:jc w:val="both"/>
    </w:pPr>
    <w:rPr>
      <w:sz w:val="18"/>
    </w:rPr>
  </w:style>
  <w:style w:type="paragraph" w:styleId="PlainText">
    <w:name w:val="Plain Text"/>
    <w:basedOn w:val="Normal"/>
    <w:link w:val="PlainTextChar"/>
    <w:uiPriority w:val="99"/>
    <w:unhideWhenUsed/>
    <w:rsid w:val="00134EA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4EA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